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525b26eb020450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9941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ANTUNA MATIJE RELJKOVIĆA, BEBRINA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1.522.659,22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1.571.167,01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1.489.198,61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1.708.372,73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137.205,72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11.914,72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149.120,44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01.01.2025. do 31.12.2025. godine prihodi poslovanja ostvareni su u iznosu od 1.571.167,01 EUR. Najznačajniji rast prihoda ostvaren je kod prihoda (šifra 6393) koji se odnosi na plaće pomoćnika u nastavi. U 2024. godini pomoćnici su bili zaposleni tokom nastavne godine, a u 2025. cijelu školsku godinu. Također, od rujna 2025. škola ima zaposlene 2 pomoćnice u nastavi, dok je do rujna bila jedna. Blagi rast prihoda ostvario se također kod prihoda za plaće zaposlenika (šifra 6361) financiranih od strane nadležnog ministarstva, zbog podizanja osnovice za izračun plaće u 2025. godini. Ostali prihodi ostali su na razini prethodne godine. </w:t>
      </w:r>
    </w:p>
    <w:p>
      <w:r>
        <w:t xml:space="preserve">Rashodi poslovanja u razdoblju od 01.01.2025. do 31.12.2025. godine iznose 1.708.372,73 EUR. Najznačajnije povećanje rashoda evidentirano je u okviru rashoda za zaposlene što je ustvari rezultat same strukture i novina u proračunskom računovodstvu: ukidanje skupine 193, odnosno kontinuiranih rashoda, što je dovelo do priznavanja 13 rashoda za plaće - u izvještaju prethodne godine evidentirano je 12 rashoda jer je trošak plaće za prosinac 2024. evidentiran u okviru skupine 193. </w:t>
      </w:r>
    </w:p>
    <w:p>
      <w:r>
        <w:t xml:space="preserve">Materijalni rashodi su povećani u odnosu na prethodnu godinu zbog veće cijene energije i materijala za čišćenje i održavanje, osim rashoda za usluge gdje je značajno smanjenje rashoda jer je škola prethodne godine imala izgradnju parkinga kod škole, dok u ovom izvještajnom razdoblju takvih većih radova nema. </w:t>
      </w:r>
    </w:p>
    <w:p>
      <w:r>
        <w:t xml:space="preserve">Nastali manjak prihoda poslovanja najvećim djelom je rezultat ukidanja skupine 193, odnosno priznavanjem 13 rashoda za plaće i 12 prihoda, tako da škola na dan 31.12.2025. nema prihoda za pokriće plaća za prosinac 2025. godine. Prihod za plaću za prosinac je priznat 09.01.2026. godine isplatom plaće. Nadalje, osim zbog ukidanja kontinuiranih rashoda, navedeni manjak je također rezultat metodološkog manjka zbog neplaćenih materijalnih rashoda za prosinac te plaća pomoćnica u nastavi čiji se prihodi priznaju tek u siječnu 2026. godine te ne obuhvaćaju ovo obračunsko razdoblje. </w:t>
      </w:r>
    </w:p>
    <w:p>
      <w:r>
        <w:t xml:space="preserve">Škola prihoda od prodaje nefinancijske imovine u razdoblju od 01.01.2025. do 31.12.2025. nije imala. Nadalje, što se tiče rashoda za nabavu nefinancijske imovine, oni iznose 11.914,72 EUR te se manjak od nefinancijske imovine odnosi na izvršena ulaganja u školu: nabava nove peći na kruto gorivo, nabava kombi dostavnog vozila za dostavu toplog obroka područnim školama, nabavu lektirnih naslova za obogaćivanje knjižničnog fonda te nabavu trajnih udžbenika za učenike za školsku godinu 2025./2026. Ulaganja su financirana dijelom od Općine Bebrina i Brodsko-posavske županije (kupnja dostavnog vozila) dok je ostala imovina financirana od pomoći nadležnog ministarstva, odnosno Ministarstva znanosti, obrazovanja i mladih.</w:t>
      </w:r>
    </w:p>
    <w:p>
      <w:r>
        <w:t xml:space="preserve">Ukupni manjak tekuće godine iznosi 149.120,44 EUR, a planira se dijelom pokriti prenesenim viškom poslovanja iz prethodne godine u iznosu od 24.324,29 EUR (višak prethodne godine je rezultat uplaćenih sredstva za program pripravništva u 2024. godini, uplaćenih sredstva za psihodijagnostiče materijale te za nabavu dostavnog vozila) te škola završava godinu s manjkom u iznosu od 124.796,15 EUR (šifra 9222 u obrascu Bilanca) što je većinskim dijelom rezultat ukidanja skupine 193.</w:t>
      </w:r>
    </w:p>
    <w:p>
      <w:r>
        <w:t xml:space="preserve"> </w:t>
      </w:r>
    </w:p>
    <w:p>
      <w:r>
        <w:br/>
      </w:r>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57.764,30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56.438,01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w:t>
            </w:r>
          </w:p>
        </w:tc>
      </w:tr>
    </w:tbl>
    <w:p>
      <w:pPr>
        <w:spacing w:before="0" w:after="0"/>
      </w:pPr>
    </w:p>
    <w:p>
      <w:r>
        <w:t xml:space="preserve">Dodatne usluge u obrazovanju se odnose na prehranu učenika.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60.473,50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smanjenja imovine odnosi se na amortizaciju za 2025. godinu.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18.151,88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w:t>
            </w:r>
          </w:p>
        </w:tc>
      </w:tr>
    </w:tbl>
    <w:p>
      <w:pPr>
        <w:spacing w:before="0" w:after="0"/>
      </w:pPr>
    </w:p>
    <w:p>
      <w:r>
        <w:t xml:space="preserve">Povećanje se odnosi na prijenose dugotrajne nefinancijske imovine od osnivača. A smanjenje na jednokratni otpis trajnih udžbenika te isknjiženje imovine koja je imala sadašnju vrijednost, ali je zbog kvara zamijenjena novom i zbrinuta ili je uklonjena i darovana.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Ukupan iznos dospjelih obveza iznosi 2.334,85 EUR. Navedene dospjele obveze rezultat su uglavnom neplaćenih računa za školsku kuhinju. Naime, osnivač nam plaća račune tek po primitku sredstava za školsku kuhinju od MZOM-a, a sredstva za školsku kuhinju za prosinac su doznačena 22.01.2026. godine. Ostalo se odnosi na kratke valute plaćanja, koje je nemoguće u cijelosti ispoštovati jer škola pravi mjesečne zahtjeve za plaćanje, a ne dnevne.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7b9127a6d56459b" /></Relationships>
</file>